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before="280" w:line="360" w:lineRule="auto"/>
        <w:rPr>
          <w:color w:val="621b4b"/>
          <w:sz w:val="39"/>
          <w:szCs w:val="39"/>
        </w:rPr>
      </w:pPr>
      <w:bookmarkStart w:colFirst="0" w:colLast="0" w:name="_js5b5pjwu4u1" w:id="0"/>
      <w:bookmarkEnd w:id="0"/>
      <w:r w:rsidDel="00000000" w:rsidR="00000000" w:rsidRPr="00000000">
        <w:rPr>
          <w:color w:val="621b4b"/>
          <w:sz w:val="39"/>
          <w:szCs w:val="39"/>
          <w:rtl w:val="0"/>
        </w:rPr>
        <w:t xml:space="preserve">Week 5-Lecture</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Employment Law</w:t>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This week we will be studying employment law, securities regulation, and environmental regulation.  At some point in their careers, most business owners, managers, and executives will likely find themselves dealing with employment law issues on a day to day basis. Employment law issues include discrimination, hiring, firing, sexual harassment, agency, and workplace safety just to name a few.  Having employees at a business also adds a whole new level of complexity to compliance and tax issues. </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color w:val="2d3b45"/>
          <w:sz w:val="24"/>
          <w:szCs w:val="24"/>
          <w:rtl w:val="0"/>
        </w:rPr>
        <w:t xml:space="preserve">Our textbook does a nice job covering all of the traditional employment law issues, but does not have in-depth coverage of employment tax issues so I’d like to take an opportunity to briefly discuss employment tax issues that commonly arise in the business environment and can financially devastate not only the company, but also the owners, managers, accountants, and other key personnel. </w:t>
      </w:r>
    </w:p>
    <w:p w:rsidR="00000000" w:rsidDel="00000000" w:rsidP="00000000" w:rsidRDefault="00000000" w:rsidRPr="00000000" w14:paraId="0000000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Employment Tax Issues</w:t>
      </w:r>
    </w:p>
    <w:p w:rsidR="00000000" w:rsidDel="00000000" w:rsidP="00000000" w:rsidRDefault="00000000" w:rsidRPr="00000000" w14:paraId="00000007">
      <w:pPr>
        <w:shd w:fill="ffffff" w:val="clear"/>
        <w:spacing w:after="180" w:before="180" w:lineRule="auto"/>
        <w:rPr>
          <w:color w:val="2d3b45"/>
          <w:sz w:val="24"/>
          <w:szCs w:val="24"/>
        </w:rPr>
      </w:pPr>
      <w:r w:rsidDel="00000000" w:rsidR="00000000" w:rsidRPr="00000000">
        <w:rPr>
          <w:color w:val="2d3b45"/>
          <w:sz w:val="24"/>
          <w:szCs w:val="24"/>
          <w:rtl w:val="0"/>
        </w:rPr>
        <w:t xml:space="preserve">In addition to income taxes, any business with employees pays employment taxes.  This is an area where many businesses get into deep trouble and is one area where an owner, manager or CEO of any business can find themselves being held accountable for paying employment taxes.</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As of 2019, an employer is required to pay a tax of 6.2% of an employee’s wages for Social Security and 1.45% for Medicare.  The employer is also required to withhold 6.2% of the employee’s wages for Social Security and to withhold 1.45% of the employees wages for Medicare (Internal Revenue Service, 2019).  The employer also withholds a certain amount from the employee’s wages for the employee’s income taxes.  The amount that an employer withholds from the employee’s wages for Social Security, Medicare, and for the employee’s income taxes is considered held by the employer “in trust” for the government and is often referred to as “trust fund taxes”. </w:t>
      </w:r>
    </w:p>
    <w:p w:rsidR="00000000" w:rsidDel="00000000" w:rsidP="00000000" w:rsidRDefault="00000000" w:rsidRPr="00000000" w14:paraId="00000009">
      <w:pPr>
        <w:shd w:fill="ffffff" w:val="clear"/>
        <w:spacing w:after="180" w:before="180" w:lineRule="auto"/>
        <w:rPr>
          <w:color w:val="2d3b45"/>
          <w:sz w:val="24"/>
          <w:szCs w:val="24"/>
        </w:rPr>
      </w:pPr>
      <w:r w:rsidDel="00000000" w:rsidR="00000000" w:rsidRPr="00000000">
        <w:rPr>
          <w:color w:val="2d3b45"/>
          <w:sz w:val="24"/>
          <w:szCs w:val="24"/>
          <w:rtl w:val="0"/>
        </w:rPr>
        <w:t xml:space="preserve">The employer is supposed to turn that money over to the federal government at specific intervals but what often happens is that the employer uses the money for operating expenses such as paying the rent, utility bills and paying employees. Then when it comes time to pay the federal government, the employer doesn’t have any money to pay these obligations.  In my tax practice I saw many, many businesses that got into trouble with trust fund taxes and ended up going out of business.</w:t>
      </w:r>
    </w:p>
    <w:p w:rsidR="00000000" w:rsidDel="00000000" w:rsidP="00000000" w:rsidRDefault="00000000" w:rsidRPr="00000000" w14:paraId="0000000A">
      <w:pPr>
        <w:shd w:fill="ffffff" w:val="clear"/>
        <w:spacing w:after="180" w:before="180" w:lineRule="auto"/>
        <w:rPr>
          <w:color w:val="2d3b45"/>
          <w:sz w:val="24"/>
          <w:szCs w:val="24"/>
        </w:rPr>
      </w:pPr>
      <w:r w:rsidDel="00000000" w:rsidR="00000000" w:rsidRPr="00000000">
        <w:rPr>
          <w:color w:val="2d3b45"/>
          <w:sz w:val="24"/>
          <w:szCs w:val="24"/>
          <w:rtl w:val="0"/>
        </w:rPr>
        <w:t xml:space="preserve">The Internal Revenue Service is very aggressive about collecting trust fund taxes.  There are severe penalties for failing to pay trust fund taxes and these make it almost impossible for a business to catch up once they fall behind.  Even worse, the IRS imposes a penalty called a “trust fund recovery penalty” personally on any person at the business who had the authority to pay the trust fund taxes (Dunn, 2012).</w:t>
      </w:r>
    </w:p>
    <w:p w:rsidR="00000000" w:rsidDel="00000000" w:rsidP="00000000" w:rsidRDefault="00000000" w:rsidRPr="00000000" w14:paraId="0000000B">
      <w:pPr>
        <w:shd w:fill="ffffff" w:val="clear"/>
        <w:spacing w:after="180" w:before="180" w:lineRule="auto"/>
        <w:rPr>
          <w:color w:val="2d3b45"/>
          <w:sz w:val="24"/>
          <w:szCs w:val="24"/>
        </w:rPr>
      </w:pPr>
      <w:r w:rsidDel="00000000" w:rsidR="00000000" w:rsidRPr="00000000">
        <w:rPr>
          <w:color w:val="2d3b45"/>
          <w:sz w:val="24"/>
          <w:szCs w:val="24"/>
          <w:rtl w:val="0"/>
        </w:rPr>
        <w:t xml:space="preserve">These people are referred to as “responsible persons” and can include the owner, CEO, officers, managers, accountant, bookkeeper, or anyone who had the authority to pay the trust fund taxes.  The trust fund recovery penalty is equal to the amount of the trust fund taxes due and is not dischargeable in a bankruptcy  (Flynn, 2017)</w:t>
      </w:r>
    </w:p>
    <w:p w:rsidR="00000000" w:rsidDel="00000000" w:rsidP="00000000" w:rsidRDefault="00000000" w:rsidRPr="00000000" w14:paraId="0000000C">
      <w:pPr>
        <w:shd w:fill="ffffff" w:val="clear"/>
        <w:spacing w:after="180" w:before="180" w:lineRule="auto"/>
        <w:rPr>
          <w:color w:val="2d3b45"/>
          <w:sz w:val="24"/>
          <w:szCs w:val="24"/>
        </w:rPr>
      </w:pPr>
      <w:r w:rsidDel="00000000" w:rsidR="00000000" w:rsidRPr="00000000">
        <w:rPr>
          <w:color w:val="2d3b45"/>
          <w:sz w:val="24"/>
          <w:szCs w:val="24"/>
          <w:rtl w:val="0"/>
        </w:rPr>
        <w:t xml:space="preserve">The IRS will seize the bank accounts and other assets of the business, and then go after the responsible persons.  The business owners, managers, bookkeepers and other responsible persons will find themselves out of business and personally responsible for a huge trust fund recovery penalty.  The amounts can be in the hundreds of thousand or even millions of dollars because it takes the IRS a couple years to get around to collecting.  In the meantime, the business keeps operating in the hopes that it can catch up but in fact it just keeps getting further and further behind.</w:t>
      </w:r>
    </w:p>
    <w:p w:rsidR="00000000" w:rsidDel="00000000" w:rsidP="00000000" w:rsidRDefault="00000000" w:rsidRPr="00000000" w14:paraId="0000000D">
      <w:pPr>
        <w:shd w:fill="ffffff" w:val="clear"/>
        <w:spacing w:after="180" w:before="180" w:lineRule="auto"/>
        <w:rPr>
          <w:color w:val="2d3b45"/>
          <w:sz w:val="24"/>
          <w:szCs w:val="24"/>
        </w:rPr>
      </w:pPr>
      <w:r w:rsidDel="00000000" w:rsidR="00000000" w:rsidRPr="00000000">
        <w:rPr>
          <w:color w:val="2d3b45"/>
          <w:sz w:val="24"/>
          <w:szCs w:val="24"/>
          <w:rtl w:val="0"/>
        </w:rPr>
        <w:t xml:space="preserve">In addition, if you are promoted into a responsible person position or newly hired into a responsible person position and discover that the company has unpaid employment taxes, you can be held liable for those unpaid taxes to the extent of any business funds existing at the time your new position started or at the time you became aware of the unpaid taxes.  This is a more common scenario than you might think because there is a lot of turnover these positions where there are problems meeting tax obligations.  In many cases, the person in that position resigns rather than carry out orders from higher level managers to pay other creditors ahead of the IRS, and the new employee ends up with personal responsibility for the tax liability.</w:t>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color w:val="2d3b45"/>
          <w:sz w:val="24"/>
          <w:szCs w:val="24"/>
          <w:rtl w:val="0"/>
        </w:rPr>
        <w:t xml:space="preserve">The important thing to remember is that when you operate a business or work in any position that has check signing authority, make sure that the business is paying it employment taxes on time and paying over to the IRS the full amounts withheld from employees’ paycheck.  Very few businesses can catch up after falling behind on their payroll taxes.  Pay those employment taxes to the IRS and if the business needs operating capital, talk to the bank, investors, or family members, but never, never “borrow” trust fund money for operating expense.</w:t>
      </w:r>
    </w:p>
    <w:p w:rsidR="00000000" w:rsidDel="00000000" w:rsidP="00000000" w:rsidRDefault="00000000" w:rsidRPr="00000000" w14:paraId="0000000F">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References</w:t>
      </w:r>
    </w:p>
    <w:p w:rsidR="00000000" w:rsidDel="00000000" w:rsidP="00000000" w:rsidRDefault="00000000" w:rsidRPr="00000000" w14:paraId="00000010">
      <w:pPr>
        <w:shd w:fill="ffffff" w:val="clear"/>
        <w:spacing w:after="180" w:before="180" w:lineRule="auto"/>
        <w:rPr>
          <w:color w:val="1155cc"/>
          <w:sz w:val="24"/>
          <w:szCs w:val="24"/>
        </w:rPr>
      </w:pPr>
      <w:r w:rsidDel="00000000" w:rsidR="00000000" w:rsidRPr="00000000">
        <w:rPr>
          <w:color w:val="2d3b45"/>
          <w:sz w:val="24"/>
          <w:szCs w:val="24"/>
          <w:rtl w:val="0"/>
        </w:rPr>
        <w:t xml:space="preserve">Dunn, J. (Dec 29, 2012).  </w:t>
      </w:r>
      <w:r w:rsidDel="00000000" w:rsidR="00000000" w:rsidRPr="00000000">
        <w:fldChar w:fldCharType="begin"/>
        <w:instrText xml:space="preserve"> HYPERLINK "https://www.forbes.com/sites/stephendunn/2012/12/29/the-federal-trust-fund-recovery-penalty/#3c456dc1178c" </w:instrText>
        <w:fldChar w:fldCharType="separate"/>
      </w:r>
      <w:r w:rsidDel="00000000" w:rsidR="00000000" w:rsidRPr="00000000">
        <w:rPr>
          <w:color w:val="1155cc"/>
          <w:sz w:val="24"/>
          <w:szCs w:val="24"/>
          <w:rtl w:val="0"/>
        </w:rPr>
        <w:t xml:space="preserve">The federal trust fund recovery penalty</w:t>
      </w:r>
    </w:p>
    <w:p w:rsidR="00000000" w:rsidDel="00000000" w:rsidP="00000000" w:rsidRDefault="00000000" w:rsidRPr="00000000" w14:paraId="00000011">
      <w:pPr>
        <w:shd w:fill="ffffff" w:val="clear"/>
        <w:spacing w:after="160" w:before="160" w:lineRule="auto"/>
        <w:ind w:left="-20" w:right="-20" w:firstLine="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2">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Forbes.  Retrieved from https://www.forbes.com/sites/stephendunn/2012/12/29/the-federal-trust-fund-recovery-penalty/#3c456dc1178c</w:t>
      </w:r>
    </w:p>
    <w:p w:rsidR="00000000" w:rsidDel="00000000" w:rsidP="00000000" w:rsidRDefault="00000000" w:rsidRPr="00000000" w14:paraId="00000013">
      <w:pPr>
        <w:shd w:fill="ffffff" w:val="clear"/>
        <w:spacing w:after="180" w:before="180" w:lineRule="auto"/>
        <w:rPr>
          <w:color w:val="1155cc"/>
          <w:sz w:val="24"/>
          <w:szCs w:val="24"/>
        </w:rPr>
      </w:pPr>
      <w:r w:rsidDel="00000000" w:rsidR="00000000" w:rsidRPr="00000000">
        <w:rPr>
          <w:color w:val="2d3b45"/>
          <w:sz w:val="24"/>
          <w:szCs w:val="24"/>
          <w:rtl w:val="0"/>
        </w:rPr>
        <w:t xml:space="preserve">Flynn, K. (Nov 2017).  </w:t>
      </w:r>
      <w:r w:rsidDel="00000000" w:rsidR="00000000" w:rsidRPr="00000000">
        <w:fldChar w:fldCharType="begin"/>
        <w:instrText xml:space="preserve"> HYPERLINK "https://www.cpajournal.com/2017/11/28/trust-fund-recovery-penalty/" </w:instrText>
        <w:fldChar w:fldCharType="separate"/>
      </w:r>
      <w:r w:rsidDel="00000000" w:rsidR="00000000" w:rsidRPr="00000000">
        <w:rPr>
          <w:color w:val="1155cc"/>
          <w:sz w:val="24"/>
          <w:szCs w:val="24"/>
          <w:rtl w:val="0"/>
        </w:rPr>
        <w:t xml:space="preserve">The trust fund recovery penalty</w:t>
      </w:r>
    </w:p>
    <w:p w:rsidR="00000000" w:rsidDel="00000000" w:rsidP="00000000" w:rsidRDefault="00000000" w:rsidRPr="00000000" w14:paraId="00000014">
      <w:pPr>
        <w:shd w:fill="ffffff" w:val="clear"/>
        <w:spacing w:after="160" w:before="160" w:lineRule="auto"/>
        <w:ind w:left="-20" w:right="-20" w:firstLine="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5">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The CPA Journal.  Retrieved from https://www.cpajournal.com/2017/11/28/trust-fund-recovery-penalty/</w:t>
      </w:r>
    </w:p>
    <w:p w:rsidR="00000000" w:rsidDel="00000000" w:rsidP="00000000" w:rsidRDefault="00000000" w:rsidRPr="00000000" w14:paraId="00000016">
      <w:pPr>
        <w:shd w:fill="ffffff" w:val="clear"/>
        <w:spacing w:after="180" w:before="180" w:lineRule="auto"/>
        <w:rPr>
          <w:color w:val="1155cc"/>
          <w:sz w:val="24"/>
          <w:szCs w:val="24"/>
        </w:rPr>
      </w:pPr>
      <w:r w:rsidDel="00000000" w:rsidR="00000000" w:rsidRPr="00000000">
        <w:rPr>
          <w:color w:val="2d3b45"/>
          <w:sz w:val="24"/>
          <w:szCs w:val="24"/>
          <w:rtl w:val="0"/>
        </w:rPr>
        <w:t xml:space="preserve">Internal Revenue Service (Jan 29, 2019).  </w:t>
      </w:r>
      <w:r w:rsidDel="00000000" w:rsidR="00000000" w:rsidRPr="00000000">
        <w:fldChar w:fldCharType="begin"/>
        <w:instrText xml:space="preserve"> HYPERLINK "https://www.irs.gov/taxtopics/tc751" </w:instrText>
        <w:fldChar w:fldCharType="separate"/>
      </w:r>
      <w:r w:rsidDel="00000000" w:rsidR="00000000" w:rsidRPr="00000000">
        <w:rPr>
          <w:color w:val="1155cc"/>
          <w:sz w:val="24"/>
          <w:szCs w:val="24"/>
          <w:rtl w:val="0"/>
        </w:rPr>
        <w:t xml:space="preserve">Topic Number 751 – Social Security and Medicare withholding rates</w:t>
      </w:r>
    </w:p>
    <w:p w:rsidR="00000000" w:rsidDel="00000000" w:rsidP="00000000" w:rsidRDefault="00000000" w:rsidRPr="00000000" w14:paraId="00000017">
      <w:pPr>
        <w:shd w:fill="ffffff" w:val="clear"/>
        <w:spacing w:after="160" w:before="160" w:lineRule="auto"/>
        <w:ind w:left="-20" w:right="-20" w:firstLine="0"/>
        <w:rPr>
          <w:color w:val="1155cc"/>
          <w:sz w:val="24"/>
          <w:szCs w:val="24"/>
        </w:rPr>
      </w:pPr>
      <w:r w:rsidDel="00000000" w:rsidR="00000000" w:rsidRPr="00000000">
        <w:rPr>
          <w:color w:val="1155cc"/>
          <w:sz w:val="24"/>
          <w:szCs w:val="24"/>
          <w:rtl w:val="0"/>
        </w:rPr>
        <w:t xml:space="preserve"> (Links to an external site.)</w:t>
      </w:r>
    </w:p>
    <w:p w:rsidR="00000000" w:rsidDel="00000000" w:rsidP="00000000" w:rsidRDefault="00000000" w:rsidRPr="00000000" w14:paraId="00000018">
      <w:pPr>
        <w:shd w:fill="ffffff" w:val="clear"/>
        <w:spacing w:after="180" w:before="180" w:lineRule="auto"/>
        <w:rPr>
          <w:color w:val="2d3b45"/>
          <w:sz w:val="24"/>
          <w:szCs w:val="24"/>
        </w:rPr>
      </w:pPr>
      <w:r w:rsidDel="00000000" w:rsidR="00000000" w:rsidRPr="00000000">
        <w:fldChar w:fldCharType="end"/>
      </w:r>
      <w:r w:rsidDel="00000000" w:rsidR="00000000" w:rsidRPr="00000000">
        <w:rPr>
          <w:color w:val="2d3b45"/>
          <w:sz w:val="24"/>
          <w:szCs w:val="24"/>
          <w:rtl w:val="0"/>
        </w:rPr>
        <w:t xml:space="preserve">. Retrieved from https://www.irs.gov/taxtopics/tc751</w:t>
      </w:r>
    </w:p>
    <w:p w:rsidR="00000000" w:rsidDel="00000000" w:rsidP="00000000" w:rsidRDefault="00000000" w:rsidRPr="00000000" w14:paraId="0000001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